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42FE7" w:rsidRPr="00F42FE7" w:rsidRDefault="00F42FE7" w:rsidP="00F42FE7">
      <w:pPr>
        <w:spacing w:before="40" w:after="40"/>
        <w:ind w:left="5103"/>
        <w:jc w:val="right"/>
      </w:pPr>
      <w:r w:rsidRPr="00F42FE7">
        <w:t>Załącznik do uchwały nr …</w:t>
      </w:r>
    </w:p>
    <w:p w:rsidR="00F42FE7" w:rsidRPr="00F42FE7" w:rsidRDefault="00F42FE7" w:rsidP="00F42FE7">
      <w:pPr>
        <w:spacing w:before="40" w:after="40"/>
        <w:ind w:left="5103"/>
        <w:jc w:val="right"/>
      </w:pPr>
      <w:r w:rsidRPr="00F42FE7">
        <w:t xml:space="preserve">Rady Gminy Duszniki z dnia .. marca 2020 r. </w:t>
      </w:r>
    </w:p>
    <w:p w:rsidR="00F42FE7" w:rsidRDefault="00F42FE7" w:rsidP="00314121">
      <w:pPr>
        <w:spacing w:before="40" w:after="40"/>
        <w:ind w:left="5103"/>
        <w:rPr>
          <w:sz w:val="24"/>
          <w:szCs w:val="24"/>
        </w:rPr>
      </w:pPr>
    </w:p>
    <w:p w:rsidR="00F42FE7" w:rsidRDefault="00F42FE7" w:rsidP="00314121">
      <w:pPr>
        <w:spacing w:before="40" w:after="40"/>
        <w:ind w:left="5103"/>
        <w:rPr>
          <w:sz w:val="24"/>
          <w:szCs w:val="24"/>
        </w:rPr>
      </w:pPr>
    </w:p>
    <w:p w:rsidR="00314121" w:rsidRPr="00314121" w:rsidRDefault="00BC1DF7" w:rsidP="00314121">
      <w:pPr>
        <w:spacing w:before="40" w:after="40"/>
        <w:ind w:left="5103"/>
        <w:rPr>
          <w:sz w:val="24"/>
          <w:szCs w:val="24"/>
        </w:rPr>
      </w:pPr>
      <w:r>
        <w:rPr>
          <w:sz w:val="24"/>
          <w:szCs w:val="24"/>
        </w:rPr>
        <w:t>Duszniki, dnia</w:t>
      </w:r>
      <w:r w:rsidR="005043B4">
        <w:rPr>
          <w:sz w:val="24"/>
          <w:szCs w:val="24"/>
        </w:rPr>
        <w:t xml:space="preserve">  kwietnia </w:t>
      </w:r>
      <w:r w:rsidR="00314121">
        <w:rPr>
          <w:sz w:val="24"/>
          <w:szCs w:val="24"/>
        </w:rPr>
        <w:t xml:space="preserve"> 2020 r. </w:t>
      </w:r>
    </w:p>
    <w:p w:rsidR="00314121" w:rsidRDefault="00314121" w:rsidP="00314121">
      <w:pPr>
        <w:spacing w:before="40" w:after="40"/>
        <w:ind w:left="5103"/>
        <w:rPr>
          <w:b/>
          <w:sz w:val="24"/>
          <w:szCs w:val="24"/>
        </w:rPr>
      </w:pPr>
    </w:p>
    <w:p w:rsidR="00314121" w:rsidRDefault="00314121" w:rsidP="00314121">
      <w:pPr>
        <w:spacing w:before="40" w:after="40"/>
        <w:ind w:left="5103"/>
        <w:rPr>
          <w:b/>
          <w:sz w:val="24"/>
          <w:szCs w:val="24"/>
        </w:rPr>
      </w:pPr>
      <w:r>
        <w:rPr>
          <w:b/>
          <w:sz w:val="24"/>
          <w:szCs w:val="24"/>
        </w:rPr>
        <w:t>Wojewódzki Sąd Administracyjny</w:t>
      </w:r>
    </w:p>
    <w:p w:rsidR="00314121" w:rsidRDefault="00314121" w:rsidP="00314121">
      <w:pPr>
        <w:spacing w:before="40" w:after="40"/>
        <w:ind w:left="5103"/>
        <w:rPr>
          <w:sz w:val="24"/>
          <w:szCs w:val="24"/>
        </w:rPr>
      </w:pPr>
      <w:r>
        <w:rPr>
          <w:sz w:val="24"/>
          <w:szCs w:val="24"/>
        </w:rPr>
        <w:t>w Poznaniu</w:t>
      </w:r>
    </w:p>
    <w:p w:rsidR="00314121" w:rsidRDefault="00314121" w:rsidP="00314121">
      <w:pPr>
        <w:spacing w:before="40" w:after="40"/>
        <w:ind w:left="5103"/>
        <w:rPr>
          <w:sz w:val="24"/>
          <w:szCs w:val="24"/>
        </w:rPr>
      </w:pPr>
      <w:r>
        <w:rPr>
          <w:sz w:val="24"/>
          <w:szCs w:val="24"/>
        </w:rPr>
        <w:t>ul. Ratajczaka 10/12,</w:t>
      </w:r>
    </w:p>
    <w:p w:rsidR="00314121" w:rsidRDefault="00314121" w:rsidP="00314121">
      <w:pPr>
        <w:spacing w:before="40" w:after="40"/>
        <w:ind w:left="5103"/>
        <w:rPr>
          <w:sz w:val="24"/>
          <w:szCs w:val="24"/>
        </w:rPr>
      </w:pPr>
      <w:r>
        <w:rPr>
          <w:sz w:val="24"/>
          <w:szCs w:val="24"/>
        </w:rPr>
        <w:t>61-815 Poznań</w:t>
      </w:r>
    </w:p>
    <w:p w:rsidR="00314121" w:rsidRDefault="00314121" w:rsidP="00314121">
      <w:pPr>
        <w:spacing w:line="360" w:lineRule="auto"/>
        <w:ind w:left="4253"/>
        <w:jc w:val="both"/>
        <w:rPr>
          <w:sz w:val="24"/>
          <w:szCs w:val="24"/>
        </w:rPr>
      </w:pPr>
    </w:p>
    <w:p w:rsidR="00314121" w:rsidRDefault="00314121" w:rsidP="00314121">
      <w:pPr>
        <w:ind w:left="4253"/>
        <w:jc w:val="right"/>
        <w:rPr>
          <w:sz w:val="24"/>
          <w:szCs w:val="24"/>
        </w:rPr>
      </w:pPr>
      <w:r>
        <w:rPr>
          <w:b/>
          <w:sz w:val="24"/>
          <w:szCs w:val="24"/>
        </w:rPr>
        <w:t>Skarżący:</w:t>
      </w:r>
      <w:r>
        <w:rPr>
          <w:sz w:val="24"/>
          <w:szCs w:val="24"/>
        </w:rPr>
        <w:t xml:space="preserve"> Wojewoda Wielkopolski</w:t>
      </w:r>
    </w:p>
    <w:p w:rsidR="00314121" w:rsidRDefault="00314121" w:rsidP="00314121">
      <w:pPr>
        <w:ind w:left="4253"/>
        <w:jc w:val="right"/>
        <w:rPr>
          <w:sz w:val="24"/>
          <w:szCs w:val="24"/>
        </w:rPr>
      </w:pPr>
      <w:r>
        <w:rPr>
          <w:sz w:val="24"/>
          <w:szCs w:val="24"/>
        </w:rPr>
        <w:t>al. Niepodległości 16/18,</w:t>
      </w:r>
    </w:p>
    <w:p w:rsidR="00314121" w:rsidRDefault="00314121" w:rsidP="00314121">
      <w:pPr>
        <w:ind w:left="4253"/>
        <w:jc w:val="right"/>
        <w:rPr>
          <w:sz w:val="24"/>
          <w:szCs w:val="24"/>
        </w:rPr>
      </w:pPr>
      <w:r>
        <w:rPr>
          <w:sz w:val="24"/>
          <w:szCs w:val="24"/>
        </w:rPr>
        <w:t>61-713 Poznań</w:t>
      </w:r>
    </w:p>
    <w:p w:rsidR="00314121" w:rsidRDefault="00314121" w:rsidP="00314121">
      <w:pPr>
        <w:ind w:left="4253"/>
        <w:jc w:val="right"/>
        <w:rPr>
          <w:sz w:val="24"/>
          <w:szCs w:val="24"/>
        </w:rPr>
      </w:pPr>
      <w:r>
        <w:rPr>
          <w:sz w:val="24"/>
          <w:szCs w:val="24"/>
        </w:rPr>
        <w:t xml:space="preserve">reprezentowany przez radcę prawnego </w:t>
      </w:r>
    </w:p>
    <w:p w:rsidR="00314121" w:rsidRDefault="00314121" w:rsidP="00314121">
      <w:pPr>
        <w:ind w:left="4253"/>
        <w:jc w:val="right"/>
        <w:rPr>
          <w:sz w:val="24"/>
          <w:szCs w:val="24"/>
        </w:rPr>
      </w:pPr>
      <w:r>
        <w:rPr>
          <w:sz w:val="24"/>
          <w:szCs w:val="24"/>
        </w:rPr>
        <w:t>Elżbietę Ściesielską</w:t>
      </w:r>
    </w:p>
    <w:p w:rsidR="00314121" w:rsidRDefault="00314121" w:rsidP="00F42FE7">
      <w:pPr>
        <w:ind w:left="4253"/>
        <w:jc w:val="both"/>
        <w:rPr>
          <w:sz w:val="24"/>
          <w:szCs w:val="24"/>
        </w:rPr>
      </w:pPr>
    </w:p>
    <w:p w:rsidR="00314121" w:rsidRDefault="00314121" w:rsidP="00F42FE7">
      <w:pPr>
        <w:ind w:left="4253"/>
        <w:jc w:val="right"/>
        <w:rPr>
          <w:sz w:val="24"/>
          <w:szCs w:val="24"/>
        </w:rPr>
      </w:pPr>
      <w:r>
        <w:rPr>
          <w:b/>
          <w:sz w:val="24"/>
          <w:szCs w:val="24"/>
        </w:rPr>
        <w:t>Strona przeciwna:</w:t>
      </w:r>
      <w:r>
        <w:rPr>
          <w:sz w:val="24"/>
          <w:szCs w:val="24"/>
        </w:rPr>
        <w:t xml:space="preserve"> Rada Gminy Duszniki,</w:t>
      </w:r>
    </w:p>
    <w:p w:rsidR="00314121" w:rsidRDefault="00314121" w:rsidP="00F42FE7">
      <w:pPr>
        <w:ind w:left="4253"/>
        <w:jc w:val="right"/>
        <w:rPr>
          <w:sz w:val="24"/>
          <w:szCs w:val="24"/>
        </w:rPr>
      </w:pPr>
      <w:r>
        <w:rPr>
          <w:sz w:val="24"/>
          <w:szCs w:val="24"/>
        </w:rPr>
        <w:t>u</w:t>
      </w:r>
      <w:r w:rsidRPr="00314121">
        <w:rPr>
          <w:sz w:val="24"/>
          <w:szCs w:val="24"/>
        </w:rPr>
        <w:t>l.</w:t>
      </w:r>
      <w:r>
        <w:rPr>
          <w:sz w:val="24"/>
          <w:szCs w:val="24"/>
        </w:rPr>
        <w:t xml:space="preserve"> Sportowa 1</w:t>
      </w:r>
    </w:p>
    <w:p w:rsidR="00314121" w:rsidRDefault="00314121" w:rsidP="00F42FE7">
      <w:pPr>
        <w:ind w:left="4253"/>
        <w:jc w:val="right"/>
        <w:rPr>
          <w:sz w:val="24"/>
          <w:szCs w:val="24"/>
        </w:rPr>
      </w:pPr>
      <w:r w:rsidRPr="00314121">
        <w:rPr>
          <w:sz w:val="24"/>
          <w:szCs w:val="24"/>
        </w:rPr>
        <w:t>64-</w:t>
      </w:r>
      <w:r>
        <w:rPr>
          <w:sz w:val="24"/>
          <w:szCs w:val="24"/>
        </w:rPr>
        <w:t>550 Duszniki</w:t>
      </w:r>
    </w:p>
    <w:p w:rsidR="00314121" w:rsidRPr="00314121" w:rsidRDefault="00314121" w:rsidP="00F42FE7">
      <w:pPr>
        <w:ind w:left="2832" w:firstLine="2271"/>
        <w:jc w:val="right"/>
        <w:rPr>
          <w:sz w:val="24"/>
          <w:szCs w:val="24"/>
        </w:rPr>
      </w:pPr>
      <w:r w:rsidRPr="00314121">
        <w:rPr>
          <w:sz w:val="24"/>
          <w:szCs w:val="24"/>
        </w:rPr>
        <w:t>reprezentowana przez Wójta Gminy</w:t>
      </w:r>
      <w:r w:rsidR="00F42FE7">
        <w:rPr>
          <w:sz w:val="24"/>
          <w:szCs w:val="24"/>
        </w:rPr>
        <w:t xml:space="preserve"> Duszniki</w:t>
      </w:r>
    </w:p>
    <w:p w:rsidR="00314121" w:rsidRDefault="00314121" w:rsidP="00314121">
      <w:pPr>
        <w:spacing w:line="360" w:lineRule="auto"/>
        <w:jc w:val="center"/>
        <w:rPr>
          <w:sz w:val="24"/>
          <w:szCs w:val="24"/>
        </w:rPr>
      </w:pPr>
    </w:p>
    <w:p w:rsidR="00314121" w:rsidRDefault="00314121" w:rsidP="00314121">
      <w:pPr>
        <w:pStyle w:val="Nagwek3"/>
        <w:tabs>
          <w:tab w:val="left" w:pos="0"/>
        </w:tabs>
        <w:spacing w:line="360" w:lineRule="auto"/>
        <w:jc w:val="center"/>
        <w:rPr>
          <w:i w:val="0"/>
          <w:szCs w:val="24"/>
        </w:rPr>
      </w:pPr>
      <w:r>
        <w:rPr>
          <w:i w:val="0"/>
          <w:szCs w:val="24"/>
        </w:rPr>
        <w:t>Odpowiedź na skargę</w:t>
      </w:r>
    </w:p>
    <w:p w:rsidR="00314121" w:rsidRDefault="00314121" w:rsidP="00F42FE7">
      <w:pPr>
        <w:ind w:firstLine="284"/>
        <w:jc w:val="both"/>
        <w:rPr>
          <w:sz w:val="24"/>
          <w:szCs w:val="24"/>
        </w:rPr>
      </w:pPr>
      <w:r>
        <w:rPr>
          <w:sz w:val="24"/>
          <w:szCs w:val="24"/>
        </w:rPr>
        <w:t>N</w:t>
      </w:r>
      <w:r w:rsidRPr="00EF36C0">
        <w:rPr>
          <w:sz w:val="24"/>
          <w:szCs w:val="24"/>
        </w:rPr>
        <w:t xml:space="preserve">a podstawie przepisów art. 54§ 2 ustawy z dnia 30 sierpnia 2002 </w:t>
      </w:r>
      <w:r>
        <w:rPr>
          <w:sz w:val="24"/>
          <w:szCs w:val="24"/>
        </w:rPr>
        <w:t>r. Prawo o postępowaniu przed są</w:t>
      </w:r>
      <w:r w:rsidRPr="00EF36C0">
        <w:rPr>
          <w:sz w:val="24"/>
          <w:szCs w:val="24"/>
        </w:rPr>
        <w:t xml:space="preserve">dami administracyjnymi </w:t>
      </w:r>
      <w:r w:rsidR="005043B4" w:rsidRPr="00CA65E1">
        <w:rPr>
          <w:sz w:val="24"/>
          <w:szCs w:val="24"/>
        </w:rPr>
        <w:t>(Dz.</w:t>
      </w:r>
      <w:r w:rsidR="005043B4">
        <w:rPr>
          <w:sz w:val="24"/>
          <w:szCs w:val="24"/>
        </w:rPr>
        <w:t xml:space="preserve"> </w:t>
      </w:r>
      <w:r w:rsidR="005043B4" w:rsidRPr="00CA65E1">
        <w:rPr>
          <w:sz w:val="24"/>
          <w:szCs w:val="24"/>
        </w:rPr>
        <w:t>U. z 2019 r. poz. 2325</w:t>
      </w:r>
      <w:r w:rsidR="005043B4">
        <w:rPr>
          <w:sz w:val="24"/>
          <w:szCs w:val="24"/>
        </w:rPr>
        <w:t xml:space="preserve"> z </w:t>
      </w:r>
      <w:proofErr w:type="spellStart"/>
      <w:r w:rsidR="005043B4">
        <w:rPr>
          <w:sz w:val="24"/>
          <w:szCs w:val="24"/>
        </w:rPr>
        <w:t>późn</w:t>
      </w:r>
      <w:proofErr w:type="spellEnd"/>
      <w:r w:rsidR="005043B4">
        <w:rPr>
          <w:sz w:val="24"/>
          <w:szCs w:val="24"/>
        </w:rPr>
        <w:t>. zm.</w:t>
      </w:r>
      <w:r w:rsidR="005043B4" w:rsidRPr="00CA65E1">
        <w:rPr>
          <w:sz w:val="24"/>
          <w:szCs w:val="24"/>
        </w:rPr>
        <w:t xml:space="preserve">) </w:t>
      </w:r>
      <w:r w:rsidRPr="00EF36C0">
        <w:rPr>
          <w:sz w:val="24"/>
          <w:szCs w:val="24"/>
        </w:rPr>
        <w:t xml:space="preserve">przekazuję skargę </w:t>
      </w:r>
      <w:r>
        <w:rPr>
          <w:sz w:val="24"/>
          <w:szCs w:val="24"/>
        </w:rPr>
        <w:t xml:space="preserve">Wojewody Wielkopolskiego </w:t>
      </w:r>
      <w:r w:rsidRPr="00EF36C0">
        <w:rPr>
          <w:sz w:val="24"/>
          <w:szCs w:val="24"/>
        </w:rPr>
        <w:t xml:space="preserve">na </w:t>
      </w:r>
      <w:r>
        <w:rPr>
          <w:sz w:val="24"/>
          <w:szCs w:val="24"/>
        </w:rPr>
        <w:t xml:space="preserve">uchwałę </w:t>
      </w:r>
      <w:r w:rsidR="00F42FE7">
        <w:rPr>
          <w:sz w:val="24"/>
          <w:szCs w:val="24"/>
        </w:rPr>
        <w:t>nr IX/55/19 z dnia 28 maja 2019 </w:t>
      </w:r>
      <w:r>
        <w:rPr>
          <w:sz w:val="24"/>
          <w:szCs w:val="24"/>
        </w:rPr>
        <w:t xml:space="preserve">r. w sprawie Studium uwarunkowań i kierunków zagospodarowania przestrzennego gminy Duszniki </w:t>
      </w:r>
      <w:r w:rsidRPr="00EF36C0">
        <w:rPr>
          <w:sz w:val="24"/>
          <w:szCs w:val="24"/>
        </w:rPr>
        <w:t>i wnoszę o oddalenie skargi</w:t>
      </w:r>
      <w:r w:rsidR="00F42FE7">
        <w:rPr>
          <w:sz w:val="24"/>
          <w:szCs w:val="24"/>
        </w:rPr>
        <w:t>.</w:t>
      </w:r>
    </w:p>
    <w:p w:rsidR="00BC1DF7" w:rsidRPr="00EF36C0" w:rsidRDefault="00BC1DF7" w:rsidP="00314121">
      <w:pPr>
        <w:spacing w:line="360" w:lineRule="auto"/>
        <w:ind w:firstLine="708"/>
        <w:jc w:val="both"/>
        <w:rPr>
          <w:b/>
          <w:sz w:val="24"/>
          <w:szCs w:val="24"/>
        </w:rPr>
      </w:pPr>
    </w:p>
    <w:p w:rsidR="00314121" w:rsidRDefault="00314121" w:rsidP="00314121">
      <w:pPr>
        <w:pStyle w:val="Nagwek2"/>
        <w:tabs>
          <w:tab w:val="left" w:pos="0"/>
        </w:tabs>
        <w:spacing w:line="360" w:lineRule="auto"/>
        <w:jc w:val="center"/>
        <w:rPr>
          <w:i w:val="0"/>
          <w:sz w:val="24"/>
          <w:szCs w:val="24"/>
        </w:rPr>
      </w:pPr>
      <w:r>
        <w:rPr>
          <w:i w:val="0"/>
          <w:sz w:val="24"/>
          <w:szCs w:val="24"/>
        </w:rPr>
        <w:t>Uzasadnienie</w:t>
      </w:r>
    </w:p>
    <w:p w:rsidR="001869D0" w:rsidRPr="00193CE3" w:rsidRDefault="00F42FE7" w:rsidP="00F42FE7">
      <w:pPr>
        <w:pStyle w:val="WW-Tekstpodstawowywcity2"/>
        <w:spacing w:before="120" w:line="240" w:lineRule="auto"/>
        <w:ind w:firstLine="284"/>
      </w:pPr>
      <w:r>
        <w:t>W dniu 6 marca 2020 r.</w:t>
      </w:r>
      <w:r w:rsidR="001869D0">
        <w:t xml:space="preserve"> Wojewoda Wielkopolski wniósł skargę na uchwałę </w:t>
      </w:r>
      <w:r w:rsidR="003E115D">
        <w:rPr>
          <w:rFonts w:eastAsia="Arial"/>
        </w:rPr>
        <w:t xml:space="preserve">nr IX/55/19 Rady Gminy Duszniki </w:t>
      </w:r>
      <w:r w:rsidR="001869D0">
        <w:t xml:space="preserve">z dnia 28 maja 2019 r. </w:t>
      </w:r>
      <w:r w:rsidR="001869D0">
        <w:rPr>
          <w:rFonts w:eastAsia="Arial"/>
        </w:rPr>
        <w:t xml:space="preserve">w sprawie </w:t>
      </w:r>
      <w:r w:rsidR="001869D0" w:rsidRPr="00193CE3">
        <w:rPr>
          <w:rFonts w:eastAsia="Arial"/>
        </w:rPr>
        <w:t>S</w:t>
      </w:r>
      <w:r w:rsidR="001869D0">
        <w:t>tudium uwarunkowań i </w:t>
      </w:r>
      <w:r w:rsidR="001869D0" w:rsidRPr="00193CE3">
        <w:t>kierunków zagospodarowania przestrzennego gminy Duszniki</w:t>
      </w:r>
      <w:r w:rsidR="001869D0">
        <w:t xml:space="preserve"> (doręczoną w dniu 9 marca 2020 r.)</w:t>
      </w:r>
      <w:r w:rsidR="001869D0" w:rsidRPr="00193CE3">
        <w:t xml:space="preserve">, zwaną dalej „uchwałą”. </w:t>
      </w:r>
      <w:r w:rsidR="001869D0">
        <w:t>Skarżący zaskarżył ww. uchwałę w całości.</w:t>
      </w:r>
    </w:p>
    <w:p w:rsidR="001869D0" w:rsidRPr="001C5ACC" w:rsidRDefault="001869D0" w:rsidP="00F42FE7">
      <w:pPr>
        <w:tabs>
          <w:tab w:val="left" w:pos="567"/>
        </w:tabs>
        <w:suppressAutoHyphens w:val="0"/>
        <w:autoSpaceDE w:val="0"/>
        <w:autoSpaceDN w:val="0"/>
        <w:adjustRightInd w:val="0"/>
        <w:spacing w:before="120"/>
        <w:ind w:firstLine="284"/>
        <w:jc w:val="both"/>
        <w:rPr>
          <w:rFonts w:eastAsia="Arial"/>
          <w:sz w:val="24"/>
          <w:szCs w:val="24"/>
        </w:rPr>
      </w:pPr>
      <w:r>
        <w:rPr>
          <w:sz w:val="24"/>
          <w:szCs w:val="24"/>
        </w:rPr>
        <w:t>Zaskar</w:t>
      </w:r>
      <w:r w:rsidR="00F42FE7">
        <w:rPr>
          <w:sz w:val="24"/>
          <w:szCs w:val="24"/>
        </w:rPr>
        <w:t xml:space="preserve">żonej uchwale </w:t>
      </w:r>
      <w:r>
        <w:rPr>
          <w:sz w:val="24"/>
          <w:szCs w:val="24"/>
        </w:rPr>
        <w:t>Skarżący zarzucił istotne naruszenie przepisów prawa, a</w:t>
      </w:r>
      <w:r w:rsidR="00F42FE7">
        <w:rPr>
          <w:sz w:val="24"/>
          <w:szCs w:val="24"/>
        </w:rPr>
        <w:t> </w:t>
      </w:r>
      <w:r>
        <w:rPr>
          <w:sz w:val="24"/>
          <w:szCs w:val="24"/>
        </w:rPr>
        <w:t xml:space="preserve">szczególności art. 10 ust. 5 </w:t>
      </w:r>
      <w:r w:rsidRPr="001C5ACC">
        <w:rPr>
          <w:rFonts w:eastAsia="Arial"/>
          <w:sz w:val="24"/>
          <w:szCs w:val="24"/>
        </w:rPr>
        <w:t xml:space="preserve">ustawy </w:t>
      </w:r>
      <w:r w:rsidRPr="001C5ACC">
        <w:rPr>
          <w:sz w:val="24"/>
          <w:szCs w:val="24"/>
        </w:rPr>
        <w:t>z dnia 27 mar</w:t>
      </w:r>
      <w:r w:rsidRPr="001C5ACC">
        <w:rPr>
          <w:rFonts w:eastAsia="Arial"/>
          <w:sz w:val="24"/>
          <w:szCs w:val="24"/>
        </w:rPr>
        <w:t xml:space="preserve">ca 2003 r.  o planowaniu i zagospodarowaniu przestrzennym, zwanej dalej „ustawą”, </w:t>
      </w:r>
      <w:r>
        <w:rPr>
          <w:rFonts w:eastAsia="Arial"/>
          <w:sz w:val="24"/>
          <w:szCs w:val="24"/>
        </w:rPr>
        <w:t xml:space="preserve">t.j. </w:t>
      </w:r>
      <w:r>
        <w:rPr>
          <w:sz w:val="24"/>
          <w:szCs w:val="24"/>
        </w:rPr>
        <w:t xml:space="preserve">sprzeczność </w:t>
      </w:r>
      <w:r w:rsidR="00F42FE7">
        <w:rPr>
          <w:sz w:val="24"/>
          <w:szCs w:val="24"/>
        </w:rPr>
        <w:t>sporządzonego w </w:t>
      </w:r>
      <w:r>
        <w:rPr>
          <w:sz w:val="24"/>
          <w:szCs w:val="24"/>
        </w:rPr>
        <w:t>studiu</w:t>
      </w:r>
      <w:r w:rsidR="00F42FE7">
        <w:rPr>
          <w:sz w:val="24"/>
          <w:szCs w:val="24"/>
        </w:rPr>
        <w:t>m bilansu  z </w:t>
      </w:r>
      <w:r>
        <w:rPr>
          <w:sz w:val="24"/>
          <w:szCs w:val="24"/>
        </w:rPr>
        <w:t xml:space="preserve">regulacjami ww. przepisu. Zgodnie bowiem z </w:t>
      </w:r>
      <w:r w:rsidRPr="001C5ACC">
        <w:rPr>
          <w:rFonts w:eastAsia="Arial"/>
          <w:sz w:val="24"/>
          <w:szCs w:val="24"/>
        </w:rPr>
        <w:t xml:space="preserve">art. 10 ust. 2 pkt 1 ustawy w studium określa się w szczególności kierunki zmian w strukturze przestrzennej gminy oraz w przeznaczeniu terenów oraz kierunki i wskaźniki dotyczące zagospodarowania oraz użytkowania terenów, w tym tereny przeznaczone pod zabudowę oraz tereny wyłączone spod zabudowy, które ustala się </w:t>
      </w:r>
      <w:r w:rsidR="00F42FE7" w:rsidRPr="001C5ACC">
        <w:rPr>
          <w:rFonts w:eastAsia="Arial"/>
          <w:sz w:val="24"/>
          <w:szCs w:val="24"/>
        </w:rPr>
        <w:t>przy uwzględnieniu</w:t>
      </w:r>
      <w:r w:rsidRPr="001C5ACC">
        <w:rPr>
          <w:rFonts w:eastAsia="Arial"/>
          <w:sz w:val="24"/>
          <w:szCs w:val="24"/>
          <w:u w:val="single"/>
        </w:rPr>
        <w:t xml:space="preserve"> bilansu terenów przeznaczonych pod zabudowę</w:t>
      </w:r>
      <w:r w:rsidRPr="001C5ACC">
        <w:rPr>
          <w:rFonts w:eastAsia="Arial"/>
          <w:sz w:val="24"/>
          <w:szCs w:val="24"/>
        </w:rPr>
        <w:t>.</w:t>
      </w:r>
    </w:p>
    <w:p w:rsidR="001869D0" w:rsidRPr="001C5ACC" w:rsidRDefault="001869D0" w:rsidP="00F42FE7">
      <w:pPr>
        <w:pStyle w:val="WW-Tekstpodstawowywcity2"/>
        <w:tabs>
          <w:tab w:val="left" w:pos="0"/>
        </w:tabs>
        <w:spacing w:before="120" w:line="240" w:lineRule="auto"/>
        <w:ind w:firstLine="284"/>
        <w:rPr>
          <w:rFonts w:eastAsia="Arial"/>
        </w:rPr>
      </w:pPr>
      <w:r>
        <w:lastRenderedPageBreak/>
        <w:t>Zdaniem Wojewody Wielkopolskiego</w:t>
      </w:r>
      <w:r w:rsidRPr="001C5ACC">
        <w:rPr>
          <w:rFonts w:eastAsia="Arial"/>
        </w:rPr>
        <w:t xml:space="preserve">, gmina nie powinna dokonać przedmiotowej </w:t>
      </w:r>
      <w:r w:rsidRPr="00DF2251">
        <w:rPr>
          <w:rFonts w:eastAsia="Arial"/>
        </w:rPr>
        <w:t>zmiany</w:t>
      </w:r>
      <w:r w:rsidRPr="001C5ACC">
        <w:rPr>
          <w:rFonts w:eastAsia="Arial"/>
        </w:rPr>
        <w:t xml:space="preserve"> studium w kierunku wyznaczenia nowych terenów zabudowy na terenach położonych </w:t>
      </w:r>
      <w:r w:rsidRPr="001C5ACC">
        <w:t>poza obszarami o w pełni wykształconej zwartej strukturze funkcjonalno-przestrzennej oraz poza obszarami przeznaczonymi w planach miejscowych pod zabudowę - poza obszarami zwartej zabudowy</w:t>
      </w:r>
      <w:r w:rsidRPr="001C5ACC">
        <w:rPr>
          <w:rFonts w:eastAsia="Arial"/>
        </w:rPr>
        <w:t>.</w:t>
      </w:r>
    </w:p>
    <w:p w:rsidR="001869D0" w:rsidRPr="001C5ACC" w:rsidRDefault="001869D0" w:rsidP="00F42FE7">
      <w:pPr>
        <w:ind w:firstLine="284"/>
        <w:jc w:val="both"/>
        <w:rPr>
          <w:sz w:val="24"/>
          <w:szCs w:val="24"/>
        </w:rPr>
      </w:pPr>
      <w:r w:rsidRPr="001C5ACC">
        <w:rPr>
          <w:sz w:val="24"/>
          <w:szCs w:val="24"/>
        </w:rPr>
        <w:t xml:space="preserve">Ponadto </w:t>
      </w:r>
      <w:r>
        <w:rPr>
          <w:sz w:val="24"/>
          <w:szCs w:val="24"/>
        </w:rPr>
        <w:t>wskazano,</w:t>
      </w:r>
      <w:r w:rsidRPr="001C5ACC">
        <w:rPr>
          <w:sz w:val="24"/>
          <w:szCs w:val="24"/>
        </w:rPr>
        <w:t xml:space="preserve"> że na rysunku studium określającym kierunki zagospodarowania przestrzennego oznaczono skalę 1:10 000, a na rysunku określającym uwarunkowania oznaczono skalę 1:20 000, faktycznie jednak obydwa przedstawione są w tej samej skali.</w:t>
      </w:r>
    </w:p>
    <w:p w:rsidR="001869D0" w:rsidRDefault="001869D0" w:rsidP="00F42FE7">
      <w:pPr>
        <w:ind w:firstLine="284"/>
        <w:jc w:val="both"/>
        <w:rPr>
          <w:sz w:val="24"/>
          <w:szCs w:val="24"/>
        </w:rPr>
      </w:pPr>
      <w:r>
        <w:rPr>
          <w:sz w:val="24"/>
          <w:szCs w:val="24"/>
        </w:rPr>
        <w:t xml:space="preserve">Odnosząc się do powyższych zarzutów należy stwierdzić co następuje: </w:t>
      </w:r>
    </w:p>
    <w:p w:rsidR="001869D0" w:rsidRDefault="001869D0" w:rsidP="00F42FE7">
      <w:pPr>
        <w:ind w:firstLine="284"/>
        <w:jc w:val="both"/>
        <w:rPr>
          <w:sz w:val="24"/>
          <w:szCs w:val="24"/>
        </w:rPr>
      </w:pPr>
      <w:r>
        <w:rPr>
          <w:sz w:val="24"/>
          <w:szCs w:val="24"/>
        </w:rPr>
        <w:t xml:space="preserve">Przyjęte w dniu 28 maja 2019r., uchwałą Rady Gminy Duszniki Nr IX/55/19 Studium uwarunkowań i kierunków zagospodarowania przestrzennego gminy Duszniki jest dokumentem wyrażającym przyjętą politykę przestrzenną gminy Duszniki. </w:t>
      </w:r>
    </w:p>
    <w:p w:rsidR="001869D0" w:rsidRDefault="001869D0" w:rsidP="00F42FE7">
      <w:pPr>
        <w:ind w:firstLine="284"/>
        <w:jc w:val="both"/>
        <w:rPr>
          <w:sz w:val="24"/>
          <w:szCs w:val="24"/>
        </w:rPr>
      </w:pPr>
      <w:r>
        <w:rPr>
          <w:sz w:val="24"/>
          <w:szCs w:val="24"/>
        </w:rPr>
        <w:t xml:space="preserve">Wyznaczone w Studium nowe tereny zabudowy wynikają z przemyślanej strategii umożliwiającej osiągnięcie założonych celów rozwoju gminy Duszniki w tym m.in. zapewnienie mieszkańcom możliwie najlepszego poziomu życia oraz dążenie do rozwoju gospodarczego, wpływającego na wizerunek gminy Duszniki jako gminy nowoczesnej </w:t>
      </w:r>
      <w:r w:rsidR="00F42FE7">
        <w:rPr>
          <w:sz w:val="24"/>
          <w:szCs w:val="24"/>
        </w:rPr>
        <w:t>i </w:t>
      </w:r>
      <w:r>
        <w:rPr>
          <w:sz w:val="24"/>
          <w:szCs w:val="24"/>
        </w:rPr>
        <w:t xml:space="preserve">dynamicznie się rozwijającej. </w:t>
      </w:r>
    </w:p>
    <w:p w:rsidR="001869D0" w:rsidRDefault="001869D0" w:rsidP="00F42FE7">
      <w:pPr>
        <w:ind w:firstLine="284"/>
        <w:jc w:val="both"/>
        <w:rPr>
          <w:sz w:val="24"/>
          <w:szCs w:val="24"/>
        </w:rPr>
      </w:pPr>
      <w:r>
        <w:rPr>
          <w:sz w:val="24"/>
          <w:szCs w:val="24"/>
        </w:rPr>
        <w:t>W rozdziale nr 8.13 (str. 92) „Zapotrzebowanie na nową zabudowę, a chłonność obszarów” w tabeli nr 37 przedstawiono zapotrzebowanie na nową zabudowę w gminie Duszniki ogółem w liczbie 5 693 917 m</w:t>
      </w:r>
      <w:r>
        <w:rPr>
          <w:sz w:val="24"/>
          <w:szCs w:val="24"/>
          <w:vertAlign w:val="superscript"/>
        </w:rPr>
        <w:t>2</w:t>
      </w:r>
      <w:r>
        <w:rPr>
          <w:sz w:val="24"/>
          <w:szCs w:val="24"/>
        </w:rPr>
        <w:t xml:space="preserve">. W tabeli nr 37 omyłkowo nie ujęto możliwości jaką daje ustawodawca w art. 10, ust. 7 pkt 2 </w:t>
      </w:r>
      <w:r w:rsidR="00F42FE7">
        <w:rPr>
          <w:sz w:val="24"/>
          <w:szCs w:val="24"/>
        </w:rPr>
        <w:t xml:space="preserve">ustawy. </w:t>
      </w:r>
      <w:r w:rsidRPr="0043704D">
        <w:rPr>
          <w:sz w:val="24"/>
          <w:szCs w:val="24"/>
        </w:rPr>
        <w:t xml:space="preserve">Zgodnie z przywołanym przepisem </w:t>
      </w:r>
      <w:r>
        <w:rPr>
          <w:sz w:val="24"/>
          <w:szCs w:val="24"/>
        </w:rPr>
        <w:t>określając zapotrzebowanie na nową zabudowę, o którym mowa w ust. 5 pkt 1, bierze się pod uwagę niepewność procesów rozwojowych wyrażającą się możliwością zwiększenia zapotrzebowania w stosunku do wyników analiz o nie więcej niż 30%.</w:t>
      </w:r>
    </w:p>
    <w:p w:rsidR="001869D0" w:rsidRDefault="001869D0" w:rsidP="00F42FE7">
      <w:pPr>
        <w:ind w:firstLine="284"/>
        <w:jc w:val="both"/>
        <w:rPr>
          <w:sz w:val="24"/>
          <w:szCs w:val="24"/>
        </w:rPr>
      </w:pPr>
      <w:r>
        <w:rPr>
          <w:sz w:val="24"/>
          <w:szCs w:val="24"/>
        </w:rPr>
        <w:t xml:space="preserve">Zatem należy przyjąć iż zapotrzebowanie na nową zabudowę gminy Duszniki, po uwzględnieniu niepewności procesów rozwojowych wynosić będzie </w:t>
      </w:r>
      <w:r w:rsidRPr="00E02638">
        <w:rPr>
          <w:b/>
          <w:bCs/>
          <w:sz w:val="24"/>
          <w:szCs w:val="24"/>
        </w:rPr>
        <w:t>7 402 092,10 m</w:t>
      </w:r>
      <w:r w:rsidRPr="00E02638">
        <w:rPr>
          <w:b/>
          <w:bCs/>
          <w:sz w:val="24"/>
          <w:szCs w:val="24"/>
          <w:vertAlign w:val="superscript"/>
        </w:rPr>
        <w:t>2</w:t>
      </w:r>
      <w:r>
        <w:rPr>
          <w:sz w:val="24"/>
          <w:szCs w:val="24"/>
        </w:rPr>
        <w:t xml:space="preserve"> (wzrost o 30% w stosunku do sumy zapotrzebowania oszacowanej na poziomie 5 693 917 </w:t>
      </w:r>
      <w:r w:rsidRPr="009749D6">
        <w:rPr>
          <w:sz w:val="24"/>
          <w:szCs w:val="24"/>
        </w:rPr>
        <w:t>m</w:t>
      </w:r>
      <w:r w:rsidRPr="009749D6">
        <w:rPr>
          <w:sz w:val="24"/>
          <w:szCs w:val="24"/>
          <w:vertAlign w:val="superscript"/>
        </w:rPr>
        <w:t>2</w:t>
      </w:r>
      <w:r>
        <w:rPr>
          <w:sz w:val="24"/>
          <w:szCs w:val="24"/>
        </w:rPr>
        <w:t>).</w:t>
      </w:r>
    </w:p>
    <w:p w:rsidR="001869D0" w:rsidRDefault="001869D0" w:rsidP="00F42FE7">
      <w:pPr>
        <w:ind w:firstLine="284"/>
        <w:jc w:val="both"/>
        <w:rPr>
          <w:sz w:val="24"/>
          <w:szCs w:val="24"/>
        </w:rPr>
      </w:pPr>
      <w:r>
        <w:rPr>
          <w:sz w:val="24"/>
          <w:szCs w:val="24"/>
        </w:rPr>
        <w:t xml:space="preserve">Przesłanką do ustalenia zapotrzebowania na nowe </w:t>
      </w:r>
      <w:r w:rsidR="00F42FE7">
        <w:rPr>
          <w:sz w:val="24"/>
          <w:szCs w:val="24"/>
        </w:rPr>
        <w:t xml:space="preserve">tereny pod zabudowę były m.in. </w:t>
      </w:r>
      <w:r>
        <w:rPr>
          <w:sz w:val="24"/>
          <w:szCs w:val="24"/>
        </w:rPr>
        <w:t>analizy społeczne, środowiskowe czy gospodarcze, w tym przede wszystkim tendencje rozwoju budowlanego w oparciu o wydawane warunki zabudo</w:t>
      </w:r>
      <w:r w:rsidR="00F42FE7">
        <w:rPr>
          <w:sz w:val="24"/>
          <w:szCs w:val="24"/>
        </w:rPr>
        <w:t>wy, składane wnioski do gminy o </w:t>
      </w:r>
      <w:r>
        <w:rPr>
          <w:sz w:val="24"/>
          <w:szCs w:val="24"/>
        </w:rPr>
        <w:t>wydanie warunków zabudowy czy opracowanie zmiany planów miejscowych.</w:t>
      </w:r>
    </w:p>
    <w:p w:rsidR="001869D0" w:rsidRPr="00F13791" w:rsidRDefault="001869D0" w:rsidP="00F42FE7">
      <w:pPr>
        <w:ind w:firstLine="284"/>
        <w:jc w:val="both"/>
        <w:rPr>
          <w:sz w:val="24"/>
          <w:szCs w:val="24"/>
        </w:rPr>
      </w:pPr>
      <w:r>
        <w:rPr>
          <w:sz w:val="24"/>
          <w:szCs w:val="24"/>
        </w:rPr>
        <w:t>W rozdziale 8.12 (str. 91) „Chłonność obszarów o w pełni wykształconej strukturze funkcjonalno – przestrzennej (zwartych obszarów osadniczych) oraz obszarów przeznaczonych pod zabudowę w miejscowych planach zag</w:t>
      </w:r>
      <w:r w:rsidR="00F42FE7">
        <w:rPr>
          <w:sz w:val="24"/>
          <w:szCs w:val="24"/>
        </w:rPr>
        <w:t>ospodarowania przestrzennego” w </w:t>
      </w:r>
      <w:r>
        <w:rPr>
          <w:sz w:val="24"/>
          <w:szCs w:val="24"/>
        </w:rPr>
        <w:t xml:space="preserve">tabeli nr 36 ustalono chłonność obszarów o w pełni wykształconej strukturze funkcjonalno – przestrzennej oraz obszarów przeznaczonych w planach miejscowych pod zabudowę – poza obszarami zwartej zabudowy na poziomie </w:t>
      </w:r>
      <w:r w:rsidRPr="00F13791">
        <w:rPr>
          <w:b/>
          <w:bCs/>
          <w:sz w:val="24"/>
          <w:szCs w:val="24"/>
        </w:rPr>
        <w:t>7 064 386,58 m</w:t>
      </w:r>
      <w:r w:rsidRPr="00F13791">
        <w:rPr>
          <w:b/>
          <w:bCs/>
          <w:sz w:val="24"/>
          <w:szCs w:val="24"/>
          <w:vertAlign w:val="superscript"/>
        </w:rPr>
        <w:t>2</w:t>
      </w:r>
      <w:r w:rsidRPr="00F13791">
        <w:rPr>
          <w:b/>
          <w:bCs/>
          <w:sz w:val="24"/>
          <w:szCs w:val="24"/>
        </w:rPr>
        <w:t>.</w:t>
      </w:r>
      <w:r>
        <w:rPr>
          <w:sz w:val="24"/>
          <w:szCs w:val="24"/>
        </w:rPr>
        <w:t xml:space="preserve"> </w:t>
      </w:r>
    </w:p>
    <w:p w:rsidR="001869D0" w:rsidRPr="002F4A44" w:rsidRDefault="001869D0" w:rsidP="00F42FE7">
      <w:pPr>
        <w:ind w:firstLine="284"/>
        <w:jc w:val="both"/>
        <w:rPr>
          <w:sz w:val="28"/>
          <w:szCs w:val="28"/>
        </w:rPr>
      </w:pPr>
      <w:r>
        <w:rPr>
          <w:sz w:val="24"/>
          <w:szCs w:val="24"/>
        </w:rPr>
        <w:t xml:space="preserve">Zatem określona chłonność </w:t>
      </w:r>
      <w:r w:rsidRPr="00374D99">
        <w:rPr>
          <w:b/>
          <w:bCs/>
          <w:sz w:val="24"/>
          <w:szCs w:val="24"/>
        </w:rPr>
        <w:t>nie przekracza</w:t>
      </w:r>
      <w:r>
        <w:rPr>
          <w:sz w:val="24"/>
          <w:szCs w:val="24"/>
        </w:rPr>
        <w:t xml:space="preserve"> zapotrzebowania na nową zabudowę. Zapotrzebowanie na nową zabudowę w stosunku do chłonności obszarów o w pełni wykształconej strukturze funkcjonalno – przestrzennej</w:t>
      </w:r>
      <w:r w:rsidR="00F42FE7">
        <w:rPr>
          <w:sz w:val="24"/>
          <w:szCs w:val="24"/>
        </w:rPr>
        <w:t xml:space="preserve"> oraz obszarów przeznaczonych w </w:t>
      </w:r>
      <w:r>
        <w:rPr>
          <w:sz w:val="24"/>
          <w:szCs w:val="24"/>
        </w:rPr>
        <w:t>planach miejscowych pod zabudowę – poza obszarami</w:t>
      </w:r>
      <w:r w:rsidR="00F42FE7">
        <w:rPr>
          <w:sz w:val="24"/>
          <w:szCs w:val="24"/>
        </w:rPr>
        <w:t xml:space="preserve"> zwartej zabudowy jest wyższe o </w:t>
      </w:r>
      <w:r w:rsidRPr="002F4A44">
        <w:rPr>
          <w:sz w:val="24"/>
          <w:szCs w:val="24"/>
        </w:rPr>
        <w:t>337 705,52</w:t>
      </w:r>
      <w:r>
        <w:rPr>
          <w:sz w:val="24"/>
          <w:szCs w:val="24"/>
        </w:rPr>
        <w:t xml:space="preserve"> m</w:t>
      </w:r>
      <w:r>
        <w:rPr>
          <w:sz w:val="24"/>
          <w:szCs w:val="24"/>
          <w:vertAlign w:val="superscript"/>
        </w:rPr>
        <w:t>2</w:t>
      </w:r>
      <w:r>
        <w:rPr>
          <w:sz w:val="28"/>
          <w:szCs w:val="28"/>
        </w:rPr>
        <w:t xml:space="preserve">. </w:t>
      </w:r>
    </w:p>
    <w:p w:rsidR="001869D0" w:rsidRDefault="001869D0" w:rsidP="00F42FE7">
      <w:pPr>
        <w:ind w:firstLine="284"/>
        <w:jc w:val="both"/>
        <w:rPr>
          <w:sz w:val="24"/>
          <w:szCs w:val="24"/>
        </w:rPr>
      </w:pPr>
      <w:r>
        <w:rPr>
          <w:sz w:val="24"/>
          <w:szCs w:val="24"/>
        </w:rPr>
        <w:t>W rozdziale 8.14 (str. 94) „Lokalizowanie zabudowy na terenach poza obszarami zwartymi i obowiązującymi planami miejscowymi” w tabeli nr 38 przedstawiono powierzchnię planowanej zabudowy poza obszarami zwartymi oraz planami miejscowymi na poziomie 1 069 781,14 m</w:t>
      </w:r>
      <w:r>
        <w:rPr>
          <w:sz w:val="24"/>
          <w:szCs w:val="24"/>
          <w:vertAlign w:val="superscript"/>
        </w:rPr>
        <w:t>2</w:t>
      </w:r>
      <w:r>
        <w:rPr>
          <w:sz w:val="24"/>
          <w:szCs w:val="24"/>
        </w:rPr>
        <w:t xml:space="preserve">. W ramach tej powierzchni wyznaczono tereny przeznaczone pod całkowicie nową zabudowę wynoszące ok. </w:t>
      </w:r>
      <w:r w:rsidRPr="002F4A44">
        <w:rPr>
          <w:sz w:val="24"/>
          <w:szCs w:val="24"/>
        </w:rPr>
        <w:t>337 705,52</w:t>
      </w:r>
      <w:r>
        <w:rPr>
          <w:sz w:val="24"/>
          <w:szCs w:val="24"/>
        </w:rPr>
        <w:t xml:space="preserve"> m</w:t>
      </w:r>
      <w:r>
        <w:rPr>
          <w:sz w:val="24"/>
          <w:szCs w:val="24"/>
          <w:vertAlign w:val="superscript"/>
        </w:rPr>
        <w:t>2</w:t>
      </w:r>
      <w:r>
        <w:rPr>
          <w:sz w:val="24"/>
          <w:szCs w:val="24"/>
        </w:rPr>
        <w:t>, w tym przede wszystkim pod rozwój gospodarczy, usługowo – produkcyjny gminy Duszniki. Pozostałą część terenów poza zwartymi obszarami, w wysokości ok. 732 075,62 m</w:t>
      </w:r>
      <w:r>
        <w:rPr>
          <w:sz w:val="24"/>
          <w:szCs w:val="24"/>
          <w:vertAlign w:val="superscript"/>
        </w:rPr>
        <w:t>2</w:t>
      </w:r>
      <w:r>
        <w:rPr>
          <w:sz w:val="24"/>
          <w:szCs w:val="24"/>
        </w:rPr>
        <w:t xml:space="preserve">, stanowią tereny dla których wydane zostały warunki zabudowy a w następstwie pozwolenia na budowę, tereny w trakcie </w:t>
      </w:r>
      <w:r>
        <w:rPr>
          <w:sz w:val="24"/>
          <w:szCs w:val="24"/>
        </w:rPr>
        <w:lastRenderedPageBreak/>
        <w:t>zabudowy, tereny stanowiące ogrody przy istniejącej zabudowie zwłaszcza zagrodowej. Nie należy ich rozpatrywać jako terenów pod nową zabudowę, co być może nie zostało należycie w Studium wyjaśnione. Ewentualna korekta pozycji nr 1.3 w tabeli nr 38 nie miałaby wpływu na zmianę kierunków rozwoju wyznaczonych na zał</w:t>
      </w:r>
      <w:r w:rsidR="002362B8">
        <w:rPr>
          <w:sz w:val="24"/>
          <w:szCs w:val="24"/>
        </w:rPr>
        <w:t>ączniku graficznym do Studium i </w:t>
      </w:r>
      <w:r>
        <w:rPr>
          <w:sz w:val="24"/>
          <w:szCs w:val="24"/>
        </w:rPr>
        <w:t xml:space="preserve">opisanych w tekście. </w:t>
      </w:r>
    </w:p>
    <w:p w:rsidR="001869D0" w:rsidRDefault="001869D0" w:rsidP="00F42FE7">
      <w:pPr>
        <w:ind w:firstLine="284"/>
        <w:jc w:val="both"/>
        <w:rPr>
          <w:sz w:val="24"/>
          <w:szCs w:val="24"/>
        </w:rPr>
      </w:pPr>
      <w:r>
        <w:rPr>
          <w:sz w:val="24"/>
          <w:szCs w:val="24"/>
        </w:rPr>
        <w:t xml:space="preserve">Zatem, analizując powyższe należy przyjąć iż ustalając w Studium nowe tereny pod zabudowę nie naruszono przepisów art. 10 ust. 2 pkt 1 ustawy </w:t>
      </w:r>
      <w:r w:rsidRPr="0043704D">
        <w:rPr>
          <w:sz w:val="24"/>
          <w:szCs w:val="24"/>
        </w:rPr>
        <w:t>z dnia 27 m</w:t>
      </w:r>
      <w:r w:rsidR="00F42FE7">
        <w:rPr>
          <w:sz w:val="24"/>
          <w:szCs w:val="24"/>
        </w:rPr>
        <w:t>arca 2003 r. o </w:t>
      </w:r>
      <w:r w:rsidRPr="0043704D">
        <w:rPr>
          <w:sz w:val="24"/>
          <w:szCs w:val="24"/>
        </w:rPr>
        <w:t>planowaniu i zagospodarowaniu przestrzennym</w:t>
      </w:r>
      <w:r>
        <w:rPr>
          <w:sz w:val="24"/>
          <w:szCs w:val="24"/>
        </w:rPr>
        <w:t xml:space="preserve">. </w:t>
      </w:r>
    </w:p>
    <w:p w:rsidR="001869D0" w:rsidRPr="00A44D01" w:rsidRDefault="001869D0" w:rsidP="00F42FE7">
      <w:pPr>
        <w:ind w:firstLine="284"/>
        <w:jc w:val="both"/>
        <w:rPr>
          <w:sz w:val="24"/>
          <w:szCs w:val="24"/>
        </w:rPr>
      </w:pPr>
      <w:r>
        <w:rPr>
          <w:sz w:val="24"/>
          <w:szCs w:val="24"/>
        </w:rPr>
        <w:t xml:space="preserve">Gmina Duszniki od lat prowadzi przemyślaną politykę rozwoju społeczno – gospodarczego. </w:t>
      </w:r>
      <w:r w:rsidRPr="00A44D01">
        <w:rPr>
          <w:sz w:val="24"/>
          <w:szCs w:val="24"/>
        </w:rPr>
        <w:t xml:space="preserve">Prognozowany rozwój szeroko rozumianego przemysłu może generować wzrost liczby ludności. Brak terenów mieszkaniowych wynikający z braku możliwości precyzyjnego oszacowania procesów gospodarczych, społecznych i demograficznych może stać się barierą dla rozwoju </w:t>
      </w:r>
      <w:r>
        <w:rPr>
          <w:sz w:val="24"/>
          <w:szCs w:val="24"/>
        </w:rPr>
        <w:t xml:space="preserve">społeczno - </w:t>
      </w:r>
      <w:r w:rsidRPr="00A44D01">
        <w:rPr>
          <w:sz w:val="24"/>
          <w:szCs w:val="24"/>
        </w:rPr>
        <w:t>gospodarczego gminy Duszniki. Barierą dla rozwoju gospodarczego gminy może stać się również zbyt mała powierzchnia terenów przeznaczonych pod rozwój przemysłu. Gmina Duszniki aspiruje do bycia lokalnym centrum gospodarczym, korzystającym ze swojej atrakcyjnej lokalizacji i rozwiniętego rolnictwa. Zgodnie z zapisami Strategii Rozwoju Gminy Duszniki na lata 2016 – 2024 jednym z celów strategicznych jest zapewnienie dogodnych warunków in</w:t>
      </w:r>
      <w:r w:rsidR="00F42FE7">
        <w:rPr>
          <w:sz w:val="24"/>
          <w:szCs w:val="24"/>
        </w:rPr>
        <w:t>westowania na terenie gminy. Do </w:t>
      </w:r>
      <w:r w:rsidRPr="00A44D01">
        <w:rPr>
          <w:sz w:val="24"/>
          <w:szCs w:val="24"/>
        </w:rPr>
        <w:t xml:space="preserve">osiągnięcia tego celu konieczne jest uwzględnienie w dokumentach planistycznych szerokiej możliwości lokalizowania nowych </w:t>
      </w:r>
      <w:r>
        <w:rPr>
          <w:sz w:val="24"/>
          <w:szCs w:val="24"/>
        </w:rPr>
        <w:t>przedsiębiorstw.</w:t>
      </w:r>
      <w:r w:rsidRPr="00A44D01">
        <w:rPr>
          <w:sz w:val="24"/>
          <w:szCs w:val="24"/>
        </w:rPr>
        <w:t xml:space="preserve"> Analiza możliwości ekonomicznych i finansowych wskazuje, iż gmina Duszniki prowadzi zrównoważoną politykę finansową. </w:t>
      </w:r>
    </w:p>
    <w:p w:rsidR="001869D0" w:rsidRDefault="001869D0" w:rsidP="00F42FE7">
      <w:pPr>
        <w:ind w:firstLine="284"/>
        <w:jc w:val="both"/>
        <w:rPr>
          <w:sz w:val="24"/>
          <w:szCs w:val="24"/>
        </w:rPr>
      </w:pPr>
      <w:r>
        <w:rPr>
          <w:sz w:val="24"/>
          <w:szCs w:val="24"/>
        </w:rPr>
        <w:t>Z</w:t>
      </w:r>
      <w:r w:rsidRPr="006879B0">
        <w:rPr>
          <w:sz w:val="24"/>
          <w:szCs w:val="24"/>
        </w:rPr>
        <w:t xml:space="preserve">godnie z </w:t>
      </w:r>
      <w:r w:rsidR="00F42FE7">
        <w:rPr>
          <w:sz w:val="24"/>
          <w:szCs w:val="24"/>
        </w:rPr>
        <w:t>uchwałą n</w:t>
      </w:r>
      <w:r w:rsidRPr="006879B0">
        <w:rPr>
          <w:sz w:val="24"/>
          <w:szCs w:val="24"/>
        </w:rPr>
        <w:t>r IX/5</w:t>
      </w:r>
      <w:r w:rsidR="00F42FE7">
        <w:rPr>
          <w:sz w:val="24"/>
          <w:szCs w:val="24"/>
        </w:rPr>
        <w:t>5/2019 Rady G</w:t>
      </w:r>
      <w:r w:rsidRPr="006879B0">
        <w:rPr>
          <w:sz w:val="24"/>
          <w:szCs w:val="24"/>
        </w:rPr>
        <w:t>miny Duszniki z dnia 28 maja 2019r. w sprawie uchwalenia studium uwarunkowań i kierunków zagospodarowania przestrzennego gminy Duszniki integralnymi załącznikami do uchwały są m.in.</w:t>
      </w:r>
      <w:r w:rsidR="00F42FE7">
        <w:rPr>
          <w:sz w:val="24"/>
          <w:szCs w:val="24"/>
        </w:rPr>
        <w:t xml:space="preserve"> plansza „Studium uwarunkowań i </w:t>
      </w:r>
      <w:r w:rsidRPr="006879B0">
        <w:rPr>
          <w:sz w:val="24"/>
          <w:szCs w:val="24"/>
        </w:rPr>
        <w:t xml:space="preserve">kierunków zagospodarowania przestrzennego Gminy Duszniki – uwarunkowania </w:t>
      </w:r>
      <w:r>
        <w:rPr>
          <w:sz w:val="24"/>
          <w:szCs w:val="24"/>
        </w:rPr>
        <w:t>r</w:t>
      </w:r>
      <w:r w:rsidRPr="006879B0">
        <w:rPr>
          <w:sz w:val="24"/>
          <w:szCs w:val="24"/>
        </w:rPr>
        <w:t>oz</w:t>
      </w:r>
      <w:r>
        <w:rPr>
          <w:sz w:val="24"/>
          <w:szCs w:val="24"/>
        </w:rPr>
        <w:t>woju</w:t>
      </w:r>
      <w:r w:rsidRPr="006879B0">
        <w:rPr>
          <w:sz w:val="24"/>
          <w:szCs w:val="24"/>
        </w:rPr>
        <w:t xml:space="preserve">”, sporządzona na kopii mapy topograficznej w skali </w:t>
      </w:r>
      <w:r w:rsidR="002362B8">
        <w:rPr>
          <w:sz w:val="24"/>
          <w:szCs w:val="24"/>
        </w:rPr>
        <w:t>1:20 000, stanowiąca załącznik n</w:t>
      </w:r>
      <w:r w:rsidRPr="006879B0">
        <w:rPr>
          <w:sz w:val="24"/>
          <w:szCs w:val="24"/>
        </w:rPr>
        <w:t>r 3,</w:t>
      </w:r>
      <w:r>
        <w:rPr>
          <w:sz w:val="24"/>
          <w:szCs w:val="24"/>
        </w:rPr>
        <w:t xml:space="preserve"> oraz </w:t>
      </w:r>
      <w:r w:rsidRPr="006879B0">
        <w:rPr>
          <w:sz w:val="24"/>
          <w:szCs w:val="24"/>
        </w:rPr>
        <w:t xml:space="preserve">plansza „Studium uwarunkowań i kierunków zagospodarowania przestrzennego Gminy Duszniki” – </w:t>
      </w:r>
      <w:r>
        <w:rPr>
          <w:sz w:val="24"/>
          <w:szCs w:val="24"/>
        </w:rPr>
        <w:t>kierunki rozwoju</w:t>
      </w:r>
      <w:r w:rsidRPr="006879B0">
        <w:rPr>
          <w:sz w:val="24"/>
          <w:szCs w:val="24"/>
        </w:rPr>
        <w:t xml:space="preserve"> sporządzona na kopii mapy topograficznej w skali </w:t>
      </w:r>
      <w:r w:rsidR="002362B8">
        <w:rPr>
          <w:sz w:val="24"/>
          <w:szCs w:val="24"/>
        </w:rPr>
        <w:t>1:10 000, stanowiąca załącznik n</w:t>
      </w:r>
      <w:r w:rsidRPr="006879B0">
        <w:rPr>
          <w:sz w:val="24"/>
          <w:szCs w:val="24"/>
        </w:rPr>
        <w:t>r 4</w:t>
      </w:r>
      <w:r>
        <w:rPr>
          <w:sz w:val="24"/>
          <w:szCs w:val="24"/>
        </w:rPr>
        <w:t xml:space="preserve">. W ustalonej skali oba rysunki zostały uchwalone i przedstawione w wersji graficznej. Rysunek uwarunkowań stanowi pomniejszenie skali 1:10 000 do skali 1:20 000, co przestawia zarówno opis skali na rysunku planu jak i podziałka liniowa. </w:t>
      </w:r>
    </w:p>
    <w:p w:rsidR="00F42FE7" w:rsidRPr="006879B0" w:rsidRDefault="00F42FE7" w:rsidP="00F42FE7">
      <w:pPr>
        <w:ind w:firstLine="284"/>
        <w:jc w:val="both"/>
        <w:rPr>
          <w:sz w:val="24"/>
          <w:szCs w:val="24"/>
        </w:rPr>
      </w:pPr>
    </w:p>
    <w:p w:rsidR="00314121" w:rsidRPr="00F42FE7" w:rsidRDefault="001869D0" w:rsidP="00F42FE7">
      <w:pPr>
        <w:spacing w:line="360" w:lineRule="auto"/>
        <w:ind w:firstLine="284"/>
        <w:jc w:val="both"/>
        <w:rPr>
          <w:sz w:val="24"/>
          <w:szCs w:val="24"/>
        </w:rPr>
      </w:pPr>
      <w:r w:rsidRPr="00F42FE7">
        <w:rPr>
          <w:sz w:val="24"/>
          <w:szCs w:val="24"/>
        </w:rPr>
        <w:t>Mając na uwadze powyższe Rada Gminy Duszniki wnosi jak na wstępie.</w:t>
      </w:r>
    </w:p>
    <w:p w:rsidR="00314121" w:rsidRDefault="00314121" w:rsidP="00314121">
      <w:pPr>
        <w:spacing w:line="360" w:lineRule="auto"/>
        <w:ind w:firstLine="284"/>
        <w:jc w:val="both"/>
        <w:rPr>
          <w:sz w:val="24"/>
          <w:szCs w:val="24"/>
        </w:rPr>
      </w:pPr>
    </w:p>
    <w:p w:rsidR="00F42FE7" w:rsidRDefault="00F42FE7" w:rsidP="00314121">
      <w:pPr>
        <w:spacing w:line="360" w:lineRule="auto"/>
        <w:ind w:firstLine="284"/>
        <w:jc w:val="both"/>
        <w:rPr>
          <w:sz w:val="24"/>
          <w:szCs w:val="24"/>
        </w:rPr>
      </w:pPr>
    </w:p>
    <w:p w:rsidR="00F42FE7" w:rsidRDefault="00F42FE7" w:rsidP="00314121">
      <w:pPr>
        <w:spacing w:line="360" w:lineRule="auto"/>
        <w:ind w:firstLine="284"/>
        <w:jc w:val="both"/>
        <w:rPr>
          <w:sz w:val="24"/>
          <w:szCs w:val="24"/>
        </w:rPr>
      </w:pPr>
    </w:p>
    <w:p w:rsidR="00F42FE7" w:rsidRDefault="00F42FE7" w:rsidP="00314121">
      <w:pPr>
        <w:spacing w:line="360" w:lineRule="auto"/>
        <w:ind w:firstLine="284"/>
        <w:jc w:val="both"/>
        <w:rPr>
          <w:sz w:val="24"/>
          <w:szCs w:val="24"/>
        </w:rPr>
      </w:pPr>
    </w:p>
    <w:p w:rsidR="00F42FE7" w:rsidRDefault="00F42FE7" w:rsidP="00314121">
      <w:pPr>
        <w:spacing w:line="360" w:lineRule="auto"/>
        <w:ind w:firstLine="284"/>
        <w:jc w:val="both"/>
        <w:rPr>
          <w:sz w:val="24"/>
          <w:szCs w:val="24"/>
        </w:rPr>
      </w:pPr>
    </w:p>
    <w:p w:rsidR="00F42FE7" w:rsidRPr="00F42FE7" w:rsidRDefault="00F42FE7" w:rsidP="00314121">
      <w:pPr>
        <w:spacing w:line="360" w:lineRule="auto"/>
        <w:ind w:firstLine="284"/>
        <w:jc w:val="both"/>
        <w:rPr>
          <w:sz w:val="24"/>
          <w:szCs w:val="24"/>
        </w:rPr>
      </w:pPr>
    </w:p>
    <w:p w:rsidR="00314121" w:rsidRPr="00F42FE7" w:rsidRDefault="00F42FE7" w:rsidP="00F42FE7">
      <w:pPr>
        <w:ind w:firstLine="284"/>
        <w:jc w:val="both"/>
        <w:rPr>
          <w:i/>
          <w:sz w:val="24"/>
          <w:szCs w:val="24"/>
        </w:rPr>
      </w:pPr>
      <w:r w:rsidRPr="00F42FE7">
        <w:rPr>
          <w:i/>
          <w:sz w:val="24"/>
          <w:szCs w:val="24"/>
        </w:rPr>
        <w:t>Załączniki</w:t>
      </w:r>
      <w:r w:rsidR="001869D0" w:rsidRPr="00F42FE7">
        <w:rPr>
          <w:i/>
          <w:sz w:val="24"/>
          <w:szCs w:val="24"/>
        </w:rPr>
        <w:t>:</w:t>
      </w:r>
    </w:p>
    <w:p w:rsidR="001869D0" w:rsidRPr="00F42FE7" w:rsidRDefault="001869D0" w:rsidP="00F42FE7">
      <w:pPr>
        <w:pStyle w:val="Akapitzlist"/>
        <w:numPr>
          <w:ilvl w:val="0"/>
          <w:numId w:val="3"/>
        </w:numPr>
        <w:jc w:val="both"/>
        <w:rPr>
          <w:i/>
          <w:sz w:val="24"/>
          <w:szCs w:val="24"/>
        </w:rPr>
      </w:pPr>
      <w:r w:rsidRPr="00F42FE7">
        <w:rPr>
          <w:i/>
          <w:sz w:val="24"/>
          <w:szCs w:val="24"/>
        </w:rPr>
        <w:t xml:space="preserve">Skarga Wojewody Wielkopolskiego z dnia 11 lutego 2020 r. wraz z pełnomocnictwem oraz uchwałą nr </w:t>
      </w:r>
      <w:r w:rsidR="00F42FE7" w:rsidRPr="00F42FE7">
        <w:rPr>
          <w:rFonts w:eastAsia="Arial"/>
          <w:i/>
          <w:sz w:val="24"/>
          <w:szCs w:val="24"/>
        </w:rPr>
        <w:t>nr IX/55/19 w sprawie S</w:t>
      </w:r>
      <w:r w:rsidR="00F42FE7" w:rsidRPr="00F42FE7">
        <w:rPr>
          <w:i/>
          <w:sz w:val="24"/>
          <w:szCs w:val="24"/>
        </w:rPr>
        <w:t>tudium uwarunkowań i kierunków zagospodarowania przestrzennego gminy Duszniki</w:t>
      </w:r>
    </w:p>
    <w:p w:rsidR="00314121" w:rsidRPr="00F42FE7" w:rsidRDefault="00D27874" w:rsidP="00F42FE7">
      <w:pPr>
        <w:pStyle w:val="Akapitzlist"/>
        <w:numPr>
          <w:ilvl w:val="0"/>
          <w:numId w:val="3"/>
        </w:numPr>
        <w:jc w:val="both"/>
        <w:rPr>
          <w:i/>
          <w:sz w:val="24"/>
          <w:szCs w:val="24"/>
        </w:rPr>
      </w:pPr>
      <w:r>
        <w:rPr>
          <w:i/>
          <w:sz w:val="24"/>
          <w:szCs w:val="24"/>
        </w:rPr>
        <w:t>Odpis uchwały R</w:t>
      </w:r>
      <w:r w:rsidR="00F42FE7" w:rsidRPr="00F42FE7">
        <w:rPr>
          <w:i/>
          <w:sz w:val="24"/>
          <w:szCs w:val="24"/>
        </w:rPr>
        <w:t>ady Gminy Duszniki wraz z odpowiedzią na skargę.</w:t>
      </w:r>
    </w:p>
    <w:p w:rsidR="00314121" w:rsidRDefault="00314121" w:rsidP="00F42FE7">
      <w:pPr>
        <w:spacing w:line="360" w:lineRule="auto"/>
        <w:jc w:val="both"/>
        <w:rPr>
          <w:sz w:val="24"/>
          <w:szCs w:val="24"/>
        </w:rPr>
      </w:pPr>
    </w:p>
    <w:sectPr w:rsidR="00314121" w:rsidSect="005A6B2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B638B" w:rsidRDefault="006B638B" w:rsidP="00F42FE7">
      <w:r>
        <w:separator/>
      </w:r>
    </w:p>
  </w:endnote>
  <w:endnote w:type="continuationSeparator" w:id="0">
    <w:p w:rsidR="006B638B" w:rsidRDefault="006B638B" w:rsidP="00F42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7818188"/>
      <w:docPartObj>
        <w:docPartGallery w:val="Page Numbers (Bottom of Page)"/>
        <w:docPartUnique/>
      </w:docPartObj>
    </w:sdtPr>
    <w:sdtEndPr/>
    <w:sdtContent>
      <w:p w:rsidR="00F42FE7" w:rsidRDefault="000E656F">
        <w:pPr>
          <w:pStyle w:val="Stopka"/>
        </w:pPr>
        <w:r>
          <w:fldChar w:fldCharType="begin"/>
        </w:r>
        <w:r w:rsidR="001C40D4">
          <w:instrText xml:space="preserve"> PAGE   \* MERGEFORMAT </w:instrText>
        </w:r>
        <w:r>
          <w:fldChar w:fldCharType="separate"/>
        </w:r>
        <w:r w:rsidR="00D27874">
          <w:rPr>
            <w:noProof/>
          </w:rPr>
          <w:t>3</w:t>
        </w:r>
        <w:r>
          <w:rPr>
            <w:noProof/>
          </w:rPr>
          <w:fldChar w:fldCharType="end"/>
        </w:r>
      </w:p>
    </w:sdtContent>
  </w:sdt>
  <w:p w:rsidR="00F42FE7" w:rsidRDefault="00F42F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B638B" w:rsidRDefault="006B638B" w:rsidP="00F42FE7">
      <w:r>
        <w:separator/>
      </w:r>
    </w:p>
  </w:footnote>
  <w:footnote w:type="continuationSeparator" w:id="0">
    <w:p w:rsidR="006B638B" w:rsidRDefault="006B638B" w:rsidP="00F42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29D37D2"/>
    <w:multiLevelType w:val="hybridMultilevel"/>
    <w:tmpl w:val="7E9CB4B4"/>
    <w:lvl w:ilvl="0" w:tplc="1DB409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121"/>
    <w:rsid w:val="000E656F"/>
    <w:rsid w:val="001869D0"/>
    <w:rsid w:val="001C40D4"/>
    <w:rsid w:val="002362B8"/>
    <w:rsid w:val="00293613"/>
    <w:rsid w:val="002F07F7"/>
    <w:rsid w:val="00314121"/>
    <w:rsid w:val="00322453"/>
    <w:rsid w:val="0033339C"/>
    <w:rsid w:val="00342D6F"/>
    <w:rsid w:val="003E115D"/>
    <w:rsid w:val="004B616C"/>
    <w:rsid w:val="005043B4"/>
    <w:rsid w:val="005A6B27"/>
    <w:rsid w:val="006B638B"/>
    <w:rsid w:val="008C589E"/>
    <w:rsid w:val="00BC1DF7"/>
    <w:rsid w:val="00D27874"/>
    <w:rsid w:val="00F42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22C4B-4D86-43DA-B118-2F2F93F0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4121"/>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qFormat/>
    <w:rsid w:val="00314121"/>
    <w:pPr>
      <w:keepNext/>
      <w:numPr>
        <w:numId w:val="1"/>
      </w:numPr>
      <w:outlineLvl w:val="0"/>
    </w:pPr>
    <w:rPr>
      <w:sz w:val="24"/>
    </w:rPr>
  </w:style>
  <w:style w:type="paragraph" w:styleId="Nagwek2">
    <w:name w:val="heading 2"/>
    <w:basedOn w:val="Normalny"/>
    <w:next w:val="Normalny"/>
    <w:link w:val="Nagwek2Znak"/>
    <w:qFormat/>
    <w:rsid w:val="00314121"/>
    <w:pPr>
      <w:keepNext/>
      <w:numPr>
        <w:ilvl w:val="1"/>
        <w:numId w:val="1"/>
      </w:numPr>
      <w:outlineLvl w:val="1"/>
    </w:pPr>
    <w:rPr>
      <w:b/>
      <w:i/>
      <w:iCs/>
      <w:sz w:val="28"/>
    </w:rPr>
  </w:style>
  <w:style w:type="paragraph" w:styleId="Nagwek3">
    <w:name w:val="heading 3"/>
    <w:basedOn w:val="Normalny"/>
    <w:next w:val="Normalny"/>
    <w:link w:val="Nagwek3Znak"/>
    <w:qFormat/>
    <w:rsid w:val="00314121"/>
    <w:pPr>
      <w:keepNext/>
      <w:numPr>
        <w:ilvl w:val="2"/>
        <w:numId w:val="1"/>
      </w:numPr>
      <w:outlineLvl w:val="2"/>
    </w:pPr>
    <w:rPr>
      <w:b/>
      <w:bCs/>
      <w:i/>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14121"/>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rsid w:val="00314121"/>
    <w:rPr>
      <w:rFonts w:ascii="Times New Roman" w:eastAsia="Times New Roman" w:hAnsi="Times New Roman" w:cs="Times New Roman"/>
      <w:b/>
      <w:i/>
      <w:iCs/>
      <w:sz w:val="28"/>
      <w:szCs w:val="20"/>
      <w:lang w:eastAsia="ar-SA"/>
    </w:rPr>
  </w:style>
  <w:style w:type="character" w:customStyle="1" w:styleId="Nagwek3Znak">
    <w:name w:val="Nagłówek 3 Znak"/>
    <w:basedOn w:val="Domylnaczcionkaakapitu"/>
    <w:link w:val="Nagwek3"/>
    <w:rsid w:val="00314121"/>
    <w:rPr>
      <w:rFonts w:ascii="Times New Roman" w:eastAsia="Times New Roman" w:hAnsi="Times New Roman" w:cs="Times New Roman"/>
      <w:b/>
      <w:bCs/>
      <w:i/>
      <w:iCs/>
      <w:sz w:val="24"/>
      <w:szCs w:val="20"/>
      <w:lang w:eastAsia="ar-SA"/>
    </w:rPr>
  </w:style>
  <w:style w:type="paragraph" w:styleId="Tekstpodstawowy">
    <w:name w:val="Body Text"/>
    <w:basedOn w:val="Normalny"/>
    <w:link w:val="TekstpodstawowyZnak"/>
    <w:rsid w:val="00314121"/>
    <w:pPr>
      <w:spacing w:after="120"/>
    </w:pPr>
  </w:style>
  <w:style w:type="character" w:customStyle="1" w:styleId="TekstpodstawowyZnak">
    <w:name w:val="Tekst podstawowy Znak"/>
    <w:basedOn w:val="Domylnaczcionkaakapitu"/>
    <w:link w:val="Tekstpodstawowy"/>
    <w:rsid w:val="00314121"/>
    <w:rPr>
      <w:rFonts w:ascii="Times New Roman" w:eastAsia="Times New Roman" w:hAnsi="Times New Roman" w:cs="Times New Roman"/>
      <w:sz w:val="20"/>
      <w:szCs w:val="20"/>
      <w:lang w:eastAsia="ar-SA"/>
    </w:rPr>
  </w:style>
  <w:style w:type="paragraph" w:styleId="Tekstpodstawowywcity">
    <w:name w:val="Body Text Indent"/>
    <w:basedOn w:val="Normalny"/>
    <w:link w:val="TekstpodstawowywcityZnak"/>
    <w:rsid w:val="00314121"/>
    <w:pPr>
      <w:spacing w:after="120"/>
      <w:ind w:left="283"/>
    </w:pPr>
  </w:style>
  <w:style w:type="character" w:customStyle="1" w:styleId="TekstpodstawowywcityZnak">
    <w:name w:val="Tekst podstawowy wcięty Znak"/>
    <w:basedOn w:val="Domylnaczcionkaakapitu"/>
    <w:link w:val="Tekstpodstawowywcity"/>
    <w:rsid w:val="00314121"/>
    <w:rPr>
      <w:rFonts w:ascii="Times New Roman" w:eastAsia="Times New Roman" w:hAnsi="Times New Roman" w:cs="Times New Roman"/>
      <w:sz w:val="20"/>
      <w:szCs w:val="20"/>
      <w:lang w:eastAsia="ar-SA"/>
    </w:rPr>
  </w:style>
  <w:style w:type="paragraph" w:customStyle="1" w:styleId="WW-Tekstpodstawowywcity2">
    <w:name w:val="WW-Tekst podstawowy wcięty 2"/>
    <w:basedOn w:val="Normalny"/>
    <w:rsid w:val="00BC1DF7"/>
    <w:pPr>
      <w:spacing w:line="360" w:lineRule="auto"/>
      <w:ind w:firstLine="567"/>
      <w:jc w:val="both"/>
    </w:pPr>
    <w:rPr>
      <w:kern w:val="1"/>
      <w:sz w:val="24"/>
      <w:szCs w:val="24"/>
      <w:lang w:eastAsia="zh-CN"/>
    </w:rPr>
  </w:style>
  <w:style w:type="paragraph" w:styleId="Akapitzlist">
    <w:name w:val="List Paragraph"/>
    <w:basedOn w:val="Normalny"/>
    <w:uiPriority w:val="34"/>
    <w:qFormat/>
    <w:rsid w:val="001869D0"/>
    <w:pPr>
      <w:ind w:left="720"/>
      <w:contextualSpacing/>
    </w:pPr>
  </w:style>
  <w:style w:type="paragraph" w:styleId="Nagwek">
    <w:name w:val="header"/>
    <w:basedOn w:val="Normalny"/>
    <w:link w:val="NagwekZnak"/>
    <w:uiPriority w:val="99"/>
    <w:semiHidden/>
    <w:unhideWhenUsed/>
    <w:rsid w:val="00F42FE7"/>
    <w:pPr>
      <w:tabs>
        <w:tab w:val="center" w:pos="4536"/>
        <w:tab w:val="right" w:pos="9072"/>
      </w:tabs>
    </w:pPr>
  </w:style>
  <w:style w:type="character" w:customStyle="1" w:styleId="NagwekZnak">
    <w:name w:val="Nagłówek Znak"/>
    <w:basedOn w:val="Domylnaczcionkaakapitu"/>
    <w:link w:val="Nagwek"/>
    <w:uiPriority w:val="99"/>
    <w:semiHidden/>
    <w:rsid w:val="00F42FE7"/>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F42FE7"/>
    <w:pPr>
      <w:tabs>
        <w:tab w:val="center" w:pos="4536"/>
        <w:tab w:val="right" w:pos="9072"/>
      </w:tabs>
    </w:pPr>
  </w:style>
  <w:style w:type="character" w:customStyle="1" w:styleId="StopkaZnak">
    <w:name w:val="Stopka Znak"/>
    <w:basedOn w:val="Domylnaczcionkaakapitu"/>
    <w:link w:val="Stopka"/>
    <w:uiPriority w:val="99"/>
    <w:rsid w:val="00F42FE7"/>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1219</Words>
  <Characters>7316</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lprzewozna</dc:creator>
  <cp:lastModifiedBy>Monika Młynarek</cp:lastModifiedBy>
  <cp:revision>2</cp:revision>
  <dcterms:created xsi:type="dcterms:W3CDTF">2020-05-13T08:49:00Z</dcterms:created>
  <dcterms:modified xsi:type="dcterms:W3CDTF">2020-05-13T08:49:00Z</dcterms:modified>
</cp:coreProperties>
</file>